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32AD" w:rsidRPr="00FD2286" w:rsidRDefault="002532AD" w:rsidP="002532A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  <w:r w:rsidRPr="00FD2286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Лекция 5. Способы и механизмы программируемй клеточной гибели (апоптоз, аутофагия).</w:t>
      </w:r>
    </w:p>
    <w:p w:rsidR="002532AD" w:rsidRDefault="002532AD" w:rsidP="002532A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</w:p>
    <w:p w:rsidR="002532AD" w:rsidRPr="00E3500A" w:rsidRDefault="002532AD" w:rsidP="002532A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3500A">
        <w:rPr>
          <w:rFonts w:ascii="Times New Roman" w:eastAsia="Times New Roman" w:hAnsi="Times New Roman" w:cs="Times New Roman"/>
          <w:color w:val="000000" w:themeColor="text1"/>
          <w:lang w:eastAsia="ru-RU"/>
        </w:rPr>
        <w:t>Программированная гибель клеток привлекает к себе внимание многочисленных исследователей уже более тридцати лет, прежде всего, по двум причинам. Во-первых, она играет важную роль в морфогенетических процессах и в регуляции численности клеток на протяжении всего онтогенетического развития многоклеточного организма. Во-вторых, обнаружено, что возникновение многих тяжелых заболеваний связано с такими нарушениями программы клеточной гибели, при которых клетки либо перестают погибать, и тогда возможно возникновение опухолей, либо гибель захватывает избыточное число клеток, что в свою очередь приводит к патологической дегенерации тканей и органов.</w:t>
      </w:r>
    </w:p>
    <w:p w:rsidR="002532AD" w:rsidRDefault="002532AD" w:rsidP="002532A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3500A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По другим </w:t>
      </w:r>
      <w:proofErr w:type="gramStart"/>
      <w:r w:rsidRPr="00E3500A">
        <w:rPr>
          <w:rFonts w:ascii="Times New Roman" w:eastAsia="Times New Roman" w:hAnsi="Times New Roman" w:cs="Times New Roman"/>
          <w:color w:val="000000" w:themeColor="text1"/>
          <w:lang w:eastAsia="ru-RU"/>
        </w:rPr>
        <w:t>данным  в</w:t>
      </w:r>
      <w:proofErr w:type="gramEnd"/>
      <w:r w:rsidRPr="00E3500A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составе программированной клеточной гибели (ПКГ) выделяют несколько типов: апоптоз, аутофагическую гибель и программированный некроз (Ogier Denis, Codagno, 2003; Edinger, Thompson, 2004). В свою очередь, апоптоз может быть подразделен на апоптоз одноядерных клеток и митотическую катастрофу. Последняя при этом подразделяется на апоптоз собственно в митозе и апоптоз полиплоидных клеток, образовавшихся в результате патологического митоза.</w:t>
      </w:r>
    </w:p>
    <w:p w:rsidR="002532AD" w:rsidRPr="00E3500A" w:rsidRDefault="002532AD" w:rsidP="002532A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3500A">
        <w:rPr>
          <w:rFonts w:ascii="Times New Roman" w:eastAsia="Times New Roman" w:hAnsi="Times New Roman" w:cs="Times New Roman"/>
          <w:color w:val="000000" w:themeColor="text1"/>
          <w:lang w:eastAsia="ru-RU"/>
        </w:rPr>
        <w:t>Апоптоз — программируемая гибель клеток — естественный процесс, предназначенный для элиминации поврежденных клеток либо клеток, «не нужных» по программе морфогенеза и индивидуального развития организма.</w:t>
      </w:r>
    </w:p>
    <w:p w:rsidR="002532AD" w:rsidRPr="00E3500A" w:rsidRDefault="002532AD" w:rsidP="002532A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3500A">
        <w:rPr>
          <w:rFonts w:ascii="Times New Roman" w:eastAsia="Times New Roman" w:hAnsi="Times New Roman" w:cs="Times New Roman"/>
          <w:color w:val="000000" w:themeColor="text1"/>
          <w:lang w:eastAsia="ru-RU"/>
        </w:rPr>
        <w:t>Важной особенностью апоптоза, отличающей его от некроза, является отсутствие воспалительной реакции соседних клеток на продукты распада, так как деградирующая клетка сохраняет целостность мембраны до конечных</w:t>
      </w:r>
    </w:p>
    <w:p w:rsidR="002532AD" w:rsidRPr="00E3500A" w:rsidRDefault="002532AD" w:rsidP="002532A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proofErr w:type="gramStart"/>
      <w:r w:rsidRPr="00E3500A">
        <w:rPr>
          <w:rFonts w:ascii="Times New Roman" w:eastAsia="Times New Roman" w:hAnsi="Times New Roman" w:cs="Times New Roman"/>
          <w:color w:val="000000" w:themeColor="text1"/>
          <w:lang w:eastAsia="ru-RU"/>
        </w:rPr>
        <w:t>стадий</w:t>
      </w:r>
      <w:proofErr w:type="gramEnd"/>
      <w:r w:rsidRPr="00E3500A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процесса, а затем подвергается фагоцитозу. </w:t>
      </w:r>
    </w:p>
    <w:p w:rsidR="002532AD" w:rsidRPr="00E3500A" w:rsidRDefault="002532AD" w:rsidP="002532A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3500A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К характерным признакам апоптоза принято относить: дегидратационное сжатие клеток, утрату межклеточных контактов, блеббинг, разрушение цитоскелета, конденсацию хроматина, фрагментацию ядер и деградацию </w:t>
      </w:r>
      <w:proofErr w:type="gramStart"/>
      <w:r w:rsidRPr="00E3500A">
        <w:rPr>
          <w:rFonts w:ascii="Times New Roman" w:eastAsia="Times New Roman" w:hAnsi="Times New Roman" w:cs="Times New Roman"/>
          <w:color w:val="000000" w:themeColor="text1"/>
          <w:lang w:eastAsia="ru-RU"/>
        </w:rPr>
        <w:t>ДНК .</w:t>
      </w:r>
      <w:proofErr w:type="gramEnd"/>
    </w:p>
    <w:p w:rsidR="002532AD" w:rsidRPr="00E3500A" w:rsidRDefault="002532AD" w:rsidP="002532A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3500A">
        <w:rPr>
          <w:rFonts w:ascii="Times New Roman" w:eastAsia="Times New Roman" w:hAnsi="Times New Roman" w:cs="Times New Roman"/>
          <w:color w:val="000000" w:themeColor="text1"/>
          <w:lang w:eastAsia="ru-RU"/>
        </w:rPr>
        <w:t>Чаще всего идентификацию апоптоза проводят по морфологическим признакам, а также регистрируя интернуклеосомные разрывы ДНК на электрофореграммах и определяя активность каспаз. При работе с живыми</w:t>
      </w:r>
    </w:p>
    <w:p w:rsidR="002532AD" w:rsidRPr="00E3500A" w:rsidRDefault="002532AD" w:rsidP="002532A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proofErr w:type="gramStart"/>
      <w:r w:rsidRPr="00E3500A">
        <w:rPr>
          <w:rFonts w:ascii="Times New Roman" w:eastAsia="Times New Roman" w:hAnsi="Times New Roman" w:cs="Times New Roman"/>
          <w:color w:val="000000" w:themeColor="text1"/>
          <w:lang w:eastAsia="ru-RU"/>
        </w:rPr>
        <w:t>клетками</w:t>
      </w:r>
      <w:proofErr w:type="gramEnd"/>
      <w:r w:rsidRPr="00E3500A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широко используется мечение аннексином V, выявляющим появление фосфатидилсерина на внешней стороне плазматической мембраны в процессе апоптоза.</w:t>
      </w:r>
    </w:p>
    <w:p w:rsidR="002532AD" w:rsidRPr="00E3500A" w:rsidRDefault="002532AD" w:rsidP="002532A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3500A">
        <w:rPr>
          <w:rFonts w:ascii="Times New Roman" w:eastAsia="Times New Roman" w:hAnsi="Times New Roman" w:cs="Times New Roman"/>
          <w:color w:val="000000" w:themeColor="text1"/>
          <w:lang w:eastAsia="ru-RU"/>
        </w:rPr>
        <w:t>В зависимости от типа клеток, их состояния и вида индуктора основные признаки апоптоза могут варьировать, а некоторые могут вовсе отсутствовать, как это происходит, например, при апоптозе безъядерных эритроцитов.</w:t>
      </w:r>
    </w:p>
    <w:p w:rsidR="002532AD" w:rsidRPr="00E3500A" w:rsidRDefault="002532AD" w:rsidP="002532A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3500A">
        <w:rPr>
          <w:rFonts w:ascii="Times New Roman" w:eastAsia="Times New Roman" w:hAnsi="Times New Roman" w:cs="Times New Roman"/>
          <w:color w:val="000000" w:themeColor="text1"/>
          <w:lang w:eastAsia="ru-RU"/>
        </w:rPr>
        <w:t>При более строгом подходе необходимо учитывать, что критерием апоптоза может быть только комплекс признаков.</w:t>
      </w:r>
    </w:p>
    <w:p w:rsidR="002532AD" w:rsidRPr="00E3500A" w:rsidRDefault="002532AD" w:rsidP="002532A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</w:pPr>
      <w:r w:rsidRPr="00E3500A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>Сигнальные пути при апоптозе</w:t>
      </w:r>
    </w:p>
    <w:p w:rsidR="002532AD" w:rsidRPr="00E3500A" w:rsidRDefault="002532AD" w:rsidP="002532A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3500A">
        <w:rPr>
          <w:rFonts w:ascii="Times New Roman" w:eastAsia="Times New Roman" w:hAnsi="Times New Roman" w:cs="Times New Roman"/>
          <w:color w:val="000000" w:themeColor="text1"/>
          <w:lang w:eastAsia="ru-RU"/>
        </w:rPr>
        <w:t>Общая схема запуска и развития апоптоза представлена на рис. 1. Апоптоз может быть вызван как внешними, так и эндогенными сигналами, к важнейшим из которых относится повреждение ДНК. Апоптоз — сложный многостадийный процесс, в котором существенную роль играют каспазы — семейство эволюционно консервативных протеаз. В нормальном состоянии каспазы присутствуют в клетке в неактивной форме, как проензимы. Различают два вида каспаз — «инициирующие» и «эффекторные». К первым</w:t>
      </w:r>
    </w:p>
    <w:p w:rsidR="002532AD" w:rsidRPr="00E3500A" w:rsidRDefault="002532AD" w:rsidP="002532A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proofErr w:type="gramStart"/>
      <w:r w:rsidRPr="00E3500A">
        <w:rPr>
          <w:rFonts w:ascii="Times New Roman" w:eastAsia="Times New Roman" w:hAnsi="Times New Roman" w:cs="Times New Roman"/>
          <w:color w:val="000000" w:themeColor="text1"/>
          <w:lang w:eastAsia="ru-RU"/>
        </w:rPr>
        <w:t>относятся</w:t>
      </w:r>
      <w:proofErr w:type="gramEnd"/>
      <w:r w:rsidRPr="00E3500A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каспазы 8, 9, 10 и 12, которые после активации действуют на эффекторные каспазы 3, 6, 7 и 14. Каспаза 2 обладает как инициирующими, так и эффекторными функциями. Мишени эффекторных каспаз многообразны: например, для каспазы 3 это могут быть фактор фрагментации ДНК DFF-45, гельзолин, PARP-полимераза или PAK2-киназа</w:t>
      </w:r>
    </w:p>
    <w:p w:rsidR="002532AD" w:rsidRPr="00E3500A" w:rsidRDefault="002532AD" w:rsidP="002532A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3500A">
        <w:rPr>
          <w:rFonts w:ascii="Times New Roman" w:eastAsia="Times New Roman" w:hAnsi="Times New Roman" w:cs="Times New Roman"/>
          <w:color w:val="000000" w:themeColor="text1"/>
          <w:lang w:eastAsia="ru-RU"/>
        </w:rPr>
        <w:t>(Janicke et al., 1998). Только на этапе активации инициирующих каспаз апоптоз обратим.</w:t>
      </w:r>
    </w:p>
    <w:p w:rsidR="002532AD" w:rsidRPr="00E3500A" w:rsidRDefault="002532AD" w:rsidP="002532A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3500A">
        <w:rPr>
          <w:rFonts w:ascii="Times New Roman" w:eastAsia="Times New Roman" w:hAnsi="Times New Roman" w:cs="Times New Roman"/>
          <w:color w:val="000000" w:themeColor="text1"/>
          <w:lang w:eastAsia="ru-RU"/>
        </w:rPr>
        <w:t>Механизмы активации инициирующих каспаз могут быть различными. Рцепторный путь запуска каспазного каскада начинается с активации одного из расположенных на клеточной мембране рецепторов, воспринимающих</w:t>
      </w:r>
    </w:p>
    <w:p w:rsidR="002532AD" w:rsidRPr="00E3500A" w:rsidRDefault="002532AD" w:rsidP="002532A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proofErr w:type="gramStart"/>
      <w:r w:rsidRPr="00E3500A">
        <w:rPr>
          <w:rFonts w:ascii="Times New Roman" w:eastAsia="Times New Roman" w:hAnsi="Times New Roman" w:cs="Times New Roman"/>
          <w:color w:val="000000" w:themeColor="text1"/>
          <w:lang w:eastAsia="ru-RU"/>
        </w:rPr>
        <w:t>внешний</w:t>
      </w:r>
      <w:proofErr w:type="gramEnd"/>
      <w:r w:rsidRPr="00E3500A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сигнал, например Fas/CD95, TNF, </w:t>
      </w:r>
      <w:r w:rsidRPr="00E3500A">
        <w:rPr>
          <w:rFonts w:ascii="Times New Roman" w:eastAsia="Times New Roman" w:hAnsi="Times New Roman" w:cs="Times New Roman"/>
          <w:color w:val="000000" w:themeColor="text1"/>
          <w:lang w:val="en-US" w:eastAsia="ru-RU"/>
        </w:rPr>
        <w:t>DR</w:t>
      </w:r>
      <w:r w:rsidRPr="00E3500A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-4, </w:t>
      </w:r>
      <w:r w:rsidRPr="00E3500A">
        <w:rPr>
          <w:rFonts w:ascii="Times New Roman" w:eastAsia="Times New Roman" w:hAnsi="Times New Roman" w:cs="Times New Roman"/>
          <w:color w:val="000000" w:themeColor="text1"/>
          <w:lang w:val="en-US" w:eastAsia="ru-RU"/>
        </w:rPr>
        <w:t>DR</w:t>
      </w:r>
      <w:r w:rsidRPr="00E3500A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-5 и т. п. </w:t>
      </w:r>
    </w:p>
    <w:p w:rsidR="002532AD" w:rsidRPr="00E3500A" w:rsidRDefault="002532AD" w:rsidP="002532A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3500A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В случае рецептора Fas его активация одноименным лигандом либо антителами ведет к присоединению к рецептору адаптора </w:t>
      </w:r>
      <w:r w:rsidRPr="00E3500A">
        <w:rPr>
          <w:rFonts w:ascii="Times New Roman" w:eastAsia="Times New Roman" w:hAnsi="Times New Roman" w:cs="Times New Roman"/>
          <w:color w:val="000000" w:themeColor="text1"/>
          <w:lang w:val="en-US" w:eastAsia="ru-RU"/>
        </w:rPr>
        <w:t>FADD</w:t>
      </w:r>
      <w:r w:rsidRPr="00E3500A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(</w:t>
      </w:r>
      <w:r w:rsidRPr="00E3500A">
        <w:rPr>
          <w:rFonts w:ascii="Times New Roman" w:eastAsia="Times New Roman" w:hAnsi="Times New Roman" w:cs="Times New Roman"/>
          <w:color w:val="000000" w:themeColor="text1"/>
          <w:lang w:val="en-US" w:eastAsia="ru-RU"/>
        </w:rPr>
        <w:t>Fas</w:t>
      </w:r>
      <w:r w:rsidRPr="00E3500A">
        <w:rPr>
          <w:rFonts w:ascii="Times New Roman" w:eastAsia="Times New Roman" w:hAnsi="Times New Roman" w:cs="Times New Roman"/>
          <w:color w:val="000000" w:themeColor="text1"/>
          <w:lang w:eastAsia="ru-RU"/>
        </w:rPr>
        <w:t>-</w:t>
      </w:r>
      <w:r w:rsidRPr="00E3500A">
        <w:rPr>
          <w:rFonts w:ascii="Times New Roman" w:eastAsia="Times New Roman" w:hAnsi="Times New Roman" w:cs="Times New Roman"/>
          <w:color w:val="000000" w:themeColor="text1"/>
          <w:lang w:val="en-US" w:eastAsia="ru-RU"/>
        </w:rPr>
        <w:t>associated</w:t>
      </w:r>
      <w:r w:rsidRPr="00E3500A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Pr="00E3500A">
        <w:rPr>
          <w:rFonts w:ascii="Times New Roman" w:eastAsia="Times New Roman" w:hAnsi="Times New Roman" w:cs="Times New Roman"/>
          <w:color w:val="000000" w:themeColor="text1"/>
          <w:lang w:val="en-US" w:eastAsia="ru-RU"/>
        </w:rPr>
        <w:t>protein</w:t>
      </w:r>
      <w:r w:rsidRPr="00E3500A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Pr="00E3500A">
        <w:rPr>
          <w:rFonts w:ascii="Times New Roman" w:eastAsia="Times New Roman" w:hAnsi="Times New Roman" w:cs="Times New Roman"/>
          <w:color w:val="000000" w:themeColor="text1"/>
          <w:lang w:val="en-US" w:eastAsia="ru-RU"/>
        </w:rPr>
        <w:t>with</w:t>
      </w:r>
      <w:r w:rsidRPr="00E3500A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death domain). FADD в свою очередь связывается с прокаспазой 8, что приводит к активации каспазы 8, которая затем активирует </w:t>
      </w:r>
      <w:r w:rsidRPr="00E3500A">
        <w:rPr>
          <w:rFonts w:ascii="Times New Roman" w:eastAsia="Times New Roman" w:hAnsi="Times New Roman" w:cs="Times New Roman"/>
          <w:color w:val="000000" w:themeColor="text1"/>
          <w:lang w:eastAsia="ru-RU"/>
        </w:rPr>
        <w:lastRenderedPageBreak/>
        <w:t>прокаспазу 3 (рис. 3). Такой тип передачи сигнала имеет место, например, у лимфоидных клеток.У других клеток активации каспазы 8 недостаточно для активации прокаспазы 3.</w:t>
      </w:r>
    </w:p>
    <w:p w:rsidR="002532AD" w:rsidRPr="00E3500A" w:rsidRDefault="002532AD" w:rsidP="002532A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3500A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В случае митохондриального пути запуска каспазного каскада ключевым звеном является изменение состояния митохондрий, при котором снижается мембранный потенциал на внутренней мембране, в ней образуются гигантские поры, матрикс набухает, разрывается наружная мембрана, из митохондрий выходит ряд белков, в частности цитохром </w:t>
      </w:r>
      <w:r w:rsidRPr="00E3500A">
        <w:rPr>
          <w:rFonts w:ascii="Times New Roman" w:eastAsia="Times New Roman" w:hAnsi="Times New Roman" w:cs="Times New Roman"/>
          <w:i/>
          <w:iCs/>
          <w:color w:val="000000" w:themeColor="text1"/>
          <w:lang w:eastAsia="ru-RU"/>
        </w:rPr>
        <w:t xml:space="preserve">c. </w:t>
      </w:r>
      <w:r w:rsidRPr="00E3500A">
        <w:rPr>
          <w:rFonts w:ascii="Times New Roman" w:eastAsia="Times New Roman" w:hAnsi="Times New Roman" w:cs="Times New Roman"/>
          <w:color w:val="000000" w:themeColor="text1"/>
          <w:lang w:eastAsia="ru-RU"/>
        </w:rPr>
        <w:t>Последний в комбинации с фактором Apaf-1 (</w:t>
      </w:r>
      <w:r w:rsidRPr="00E3500A">
        <w:rPr>
          <w:rFonts w:ascii="Times New Roman" w:eastAsia="Times New Roman" w:hAnsi="Times New Roman" w:cs="Times New Roman"/>
          <w:color w:val="000000" w:themeColor="text1"/>
          <w:lang w:val="en-US" w:eastAsia="ru-RU"/>
        </w:rPr>
        <w:t>apoptotic</w:t>
      </w:r>
      <w:r w:rsidRPr="00E3500A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Pr="00E3500A">
        <w:rPr>
          <w:rFonts w:ascii="Times New Roman" w:eastAsia="Times New Roman" w:hAnsi="Times New Roman" w:cs="Times New Roman"/>
          <w:color w:val="000000" w:themeColor="text1"/>
          <w:lang w:val="en-US" w:eastAsia="ru-RU"/>
        </w:rPr>
        <w:t>protease</w:t>
      </w:r>
      <w:r w:rsidRPr="00E3500A">
        <w:rPr>
          <w:rFonts w:ascii="Times New Roman" w:eastAsia="Times New Roman" w:hAnsi="Times New Roman" w:cs="Times New Roman"/>
          <w:color w:val="000000" w:themeColor="text1"/>
          <w:lang w:eastAsia="ru-RU"/>
        </w:rPr>
        <w:t>-</w:t>
      </w:r>
      <w:r w:rsidRPr="00E3500A">
        <w:rPr>
          <w:rFonts w:ascii="Times New Roman" w:eastAsia="Times New Roman" w:hAnsi="Times New Roman" w:cs="Times New Roman"/>
          <w:color w:val="000000" w:themeColor="text1"/>
          <w:lang w:val="en-US" w:eastAsia="ru-RU"/>
        </w:rPr>
        <w:t>activating</w:t>
      </w:r>
      <w:r w:rsidRPr="00E3500A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Pr="00E3500A">
        <w:rPr>
          <w:rFonts w:ascii="Times New Roman" w:eastAsia="Times New Roman" w:hAnsi="Times New Roman" w:cs="Times New Roman"/>
          <w:color w:val="000000" w:themeColor="text1"/>
          <w:lang w:val="en-US" w:eastAsia="ru-RU"/>
        </w:rPr>
        <w:t>factor</w:t>
      </w:r>
      <w:r w:rsidRPr="00E3500A">
        <w:rPr>
          <w:rFonts w:ascii="Times New Roman" w:eastAsia="Times New Roman" w:hAnsi="Times New Roman" w:cs="Times New Roman"/>
          <w:color w:val="000000" w:themeColor="text1"/>
          <w:lang w:eastAsia="ru-RU"/>
        </w:rPr>
        <w:t>-1) и прокаспазой 9 образует так называемый апоптосомный комплекс, в котором</w:t>
      </w:r>
    </w:p>
    <w:p w:rsidR="002532AD" w:rsidRPr="00E3500A" w:rsidRDefault="002532AD" w:rsidP="002532A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proofErr w:type="gramStart"/>
      <w:r w:rsidRPr="00E3500A">
        <w:rPr>
          <w:rFonts w:ascii="Times New Roman" w:eastAsia="Times New Roman" w:hAnsi="Times New Roman" w:cs="Times New Roman"/>
          <w:color w:val="000000" w:themeColor="text1"/>
          <w:lang w:eastAsia="ru-RU"/>
        </w:rPr>
        <w:t>прокаспаза</w:t>
      </w:r>
      <w:proofErr w:type="gramEnd"/>
      <w:r w:rsidRPr="00E3500A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превращается в каспазу 9.  Далее каспаза 9 активирует каспазу 3. Рецепторный и митохондриальный пути активации каспазного каскада сходятся на стадии активации какой-либо эффекторной каспазы. Так, например, каспаза 3 или 7, действуя на комплекс ДНКазы CAD (caspase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Pr="00E3500A">
        <w:rPr>
          <w:rFonts w:ascii="Times New Roman" w:eastAsia="Times New Roman" w:hAnsi="Times New Roman" w:cs="Times New Roman"/>
          <w:color w:val="000000" w:themeColor="text1"/>
          <w:lang w:eastAsia="ru-RU"/>
        </w:rPr>
        <w:t>activated DNase) с ингибитором DFF-45/ICAD, отщепляет и инактивирует последний.</w:t>
      </w:r>
    </w:p>
    <w:p w:rsidR="002532AD" w:rsidRPr="00E3500A" w:rsidRDefault="002532AD" w:rsidP="002532A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3500A">
        <w:rPr>
          <w:rFonts w:ascii="Times New Roman" w:eastAsia="Times New Roman" w:hAnsi="Times New Roman" w:cs="Times New Roman"/>
          <w:noProof/>
          <w:color w:val="000000" w:themeColor="text1"/>
          <w:lang w:eastAsia="ru-RU"/>
        </w:rPr>
        <w:drawing>
          <wp:inline distT="0" distB="0" distL="0" distR="0" wp14:anchorId="1A35D4A4" wp14:editId="1E2B4908">
            <wp:extent cx="4250311" cy="3329797"/>
            <wp:effectExtent l="19050" t="0" r="0" b="0"/>
            <wp:docPr id="1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4182" cy="3332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32AD" w:rsidRPr="00E3500A" w:rsidRDefault="002532AD" w:rsidP="002532A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3500A">
        <w:rPr>
          <w:rFonts w:ascii="Times New Roman" w:eastAsia="Times New Roman" w:hAnsi="Times New Roman" w:cs="Times New Roman"/>
          <w:color w:val="000000" w:themeColor="text1"/>
          <w:lang w:eastAsia="ru-RU"/>
        </w:rPr>
        <w:t>Рис. 3. Схема передачи сигналов при апоптозе (по: Hengartner, 2000, с дополнениями).</w:t>
      </w:r>
    </w:p>
    <w:p w:rsidR="002532AD" w:rsidRPr="00E3500A" w:rsidRDefault="002532AD" w:rsidP="002532A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3500A">
        <w:rPr>
          <w:rFonts w:ascii="Times New Roman" w:eastAsia="Times New Roman" w:hAnsi="Times New Roman" w:cs="Times New Roman"/>
          <w:color w:val="000000" w:themeColor="text1"/>
          <w:lang w:eastAsia="ru-RU"/>
        </w:rPr>
        <w:t>CD95—рецептор, расположенный на клеточной мембране; FADD</w:t>
      </w:r>
      <w:proofErr w:type="gramStart"/>
      <w:r w:rsidRPr="00E3500A">
        <w:rPr>
          <w:rFonts w:ascii="Times New Roman" w:eastAsia="Times New Roman" w:hAnsi="Times New Roman" w:cs="Times New Roman"/>
          <w:color w:val="000000" w:themeColor="text1"/>
          <w:lang w:eastAsia="ru-RU"/>
        </w:rPr>
        <w:t>—(</w:t>
      </w:r>
      <w:proofErr w:type="gramEnd"/>
      <w:r w:rsidRPr="00E3500A">
        <w:rPr>
          <w:rFonts w:ascii="Times New Roman" w:eastAsia="Times New Roman" w:hAnsi="Times New Roman" w:cs="Times New Roman"/>
          <w:color w:val="000000" w:themeColor="text1"/>
          <w:lang w:eastAsia="ru-RU"/>
        </w:rPr>
        <w:t>Fas-associated protein with death domain)—адаптер; Bid, Bcl-XL, Bcl-2, Bax—</w:t>
      </w:r>
    </w:p>
    <w:p w:rsidR="002532AD" w:rsidRPr="00E3500A" w:rsidRDefault="002532AD" w:rsidP="002532A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proofErr w:type="gramStart"/>
      <w:r w:rsidRPr="00E3500A">
        <w:rPr>
          <w:rFonts w:ascii="Times New Roman" w:eastAsia="Times New Roman" w:hAnsi="Times New Roman" w:cs="Times New Roman"/>
          <w:color w:val="000000" w:themeColor="text1"/>
          <w:lang w:eastAsia="ru-RU"/>
        </w:rPr>
        <w:t>белки</w:t>
      </w:r>
      <w:proofErr w:type="gramEnd"/>
      <w:r w:rsidRPr="00E3500A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семейства Bcl-2; p53—белок-супрессор развития опухолей; Apaf-1—фактор активации протеаз; AIF—фактор индукции апоптоза; цитохром</w:t>
      </w:r>
    </w:p>
    <w:p w:rsidR="002532AD" w:rsidRPr="00E3500A" w:rsidRDefault="002532AD" w:rsidP="002532A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proofErr w:type="gramStart"/>
      <w:r w:rsidRPr="00E3500A">
        <w:rPr>
          <w:rFonts w:ascii="Times New Roman" w:eastAsia="Times New Roman" w:hAnsi="Times New Roman" w:cs="Times New Roman"/>
          <w:i/>
          <w:iCs/>
          <w:color w:val="000000" w:themeColor="text1"/>
          <w:lang w:eastAsia="ru-RU"/>
        </w:rPr>
        <w:t>c</w:t>
      </w:r>
      <w:proofErr w:type="gramEnd"/>
      <w:r w:rsidRPr="00E3500A">
        <w:rPr>
          <w:rFonts w:ascii="Times New Roman" w:eastAsia="Times New Roman" w:hAnsi="Times New Roman" w:cs="Times New Roman"/>
          <w:i/>
          <w:iCs/>
          <w:color w:val="000000" w:themeColor="text1"/>
          <w:lang w:eastAsia="ru-RU"/>
        </w:rPr>
        <w:t xml:space="preserve"> </w:t>
      </w:r>
      <w:r w:rsidRPr="00E3500A">
        <w:rPr>
          <w:rFonts w:ascii="Times New Roman" w:eastAsia="Times New Roman" w:hAnsi="Times New Roman" w:cs="Times New Roman"/>
          <w:color w:val="000000" w:themeColor="text1"/>
          <w:lang w:eastAsia="ru-RU"/>
        </w:rPr>
        <w:t>— белок митохондриальной электрон-транспортной цепи.</w:t>
      </w:r>
    </w:p>
    <w:p w:rsidR="002532AD" w:rsidRPr="00E3500A" w:rsidRDefault="002532AD" w:rsidP="002532A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2532AD" w:rsidRPr="00E3500A" w:rsidRDefault="002532AD" w:rsidP="002532A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3500A">
        <w:rPr>
          <w:rFonts w:ascii="Times New Roman" w:eastAsia="Times New Roman" w:hAnsi="Times New Roman" w:cs="Times New Roman"/>
          <w:color w:val="000000" w:themeColor="text1"/>
          <w:lang w:eastAsia="ru-RU"/>
        </w:rPr>
        <w:t>Свободная CAD вызывает межнуклеосомные разрывы ДНК и образование фрагментов в 180—200 пар оснований. Один из белков семейства Bcl-2 —</w:t>
      </w:r>
    </w:p>
    <w:p w:rsidR="002532AD" w:rsidRPr="00E3500A" w:rsidRDefault="002532AD" w:rsidP="002532A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proofErr w:type="gramStart"/>
      <w:r w:rsidRPr="00E3500A">
        <w:rPr>
          <w:rFonts w:ascii="Times New Roman" w:eastAsia="Times New Roman" w:hAnsi="Times New Roman" w:cs="Times New Roman"/>
          <w:color w:val="000000" w:themeColor="text1"/>
          <w:lang w:eastAsia="ru-RU"/>
        </w:rPr>
        <w:t>промотор</w:t>
      </w:r>
      <w:proofErr w:type="gramEnd"/>
      <w:r w:rsidRPr="00E3500A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апоптоза Bid — также может связывать рецепторный и митохондриальный пути.</w:t>
      </w:r>
    </w:p>
    <w:p w:rsidR="002532AD" w:rsidRPr="00E3500A" w:rsidRDefault="002532AD" w:rsidP="002532A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3500A">
        <w:rPr>
          <w:rFonts w:ascii="Times New Roman" w:eastAsia="Times New Roman" w:hAnsi="Times New Roman" w:cs="Times New Roman"/>
          <w:color w:val="000000" w:themeColor="text1"/>
          <w:lang w:eastAsia="ru-RU"/>
        </w:rPr>
        <w:t>Митохондрии являются ключевым звеном в передаче сигнала во время апоптоза, связанного с повреждением ДНК при действии на клетку разного рода факторов, в частности радиации, активных форм кислорода, высокой температуры (Beere, 2004) и др.</w:t>
      </w:r>
    </w:p>
    <w:p w:rsidR="002532AD" w:rsidRPr="00E3500A" w:rsidRDefault="002532AD" w:rsidP="002532A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3500A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Важную роль при этом играет белок p53. Отсутствие или мутация гена </w:t>
      </w:r>
      <w:r w:rsidRPr="00E3500A">
        <w:rPr>
          <w:rFonts w:ascii="Times New Roman" w:eastAsia="Times New Roman" w:hAnsi="Times New Roman" w:cs="Times New Roman"/>
          <w:i/>
          <w:iCs/>
          <w:color w:val="000000" w:themeColor="text1"/>
          <w:lang w:eastAsia="ru-RU"/>
        </w:rPr>
        <w:t xml:space="preserve">p53 </w:t>
      </w:r>
      <w:r w:rsidRPr="00E3500A">
        <w:rPr>
          <w:rFonts w:ascii="Times New Roman" w:eastAsia="Times New Roman" w:hAnsi="Times New Roman" w:cs="Times New Roman"/>
          <w:color w:val="000000" w:themeColor="text1"/>
          <w:lang w:eastAsia="ru-RU"/>
        </w:rPr>
        <w:t>приводит к блокированию апоптоза и способствует развитию злокачественных новообразований из-за прекращения элиминации злокачественных клеток. При действии ультрафиолетового излучения, радиации, химиопрепаратов и других факторов, приводящих к нарушениям структуры ДНК, уровень p53 повышается.</w:t>
      </w:r>
    </w:p>
    <w:p w:rsidR="002532AD" w:rsidRPr="00E3500A" w:rsidRDefault="002532AD" w:rsidP="002532A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3500A">
        <w:rPr>
          <w:rFonts w:ascii="Times New Roman" w:eastAsia="Times New Roman" w:hAnsi="Times New Roman" w:cs="Times New Roman"/>
          <w:color w:val="000000" w:themeColor="text1"/>
          <w:lang w:eastAsia="ru-RU"/>
        </w:rPr>
        <w:t>Помимо передачи сигнала в митохондрии p53 может участвовать в активации экспрессии проапоптозных генов и подавлении экспрессии антиапоптозных генов.</w:t>
      </w:r>
    </w:p>
    <w:p w:rsidR="002532AD" w:rsidRPr="00E3500A" w:rsidRDefault="002532AD" w:rsidP="002532A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3500A">
        <w:rPr>
          <w:rFonts w:ascii="Times New Roman" w:eastAsia="Times New Roman" w:hAnsi="Times New Roman" w:cs="Times New Roman"/>
          <w:color w:val="000000" w:themeColor="text1"/>
          <w:lang w:eastAsia="ru-RU"/>
        </w:rPr>
        <w:t>На наружной мембране митохондрий локализована большая часть белков семейства Bcl-2, в состав которого входят промоторы (Bax, Bid и Bik) и ингибиторы (собственно Bcl-2 и Bcl-XL) апоптоза. От соотношения активности этих белков зависит, состоится апоптоз или нет Открытие AIF (apoptosis inducing factor) является важным этапом в развитии представлений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Pr="00E3500A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о существующих </w:t>
      </w:r>
      <w:r w:rsidRPr="00E3500A">
        <w:rPr>
          <w:rFonts w:ascii="Times New Roman" w:eastAsia="Times New Roman" w:hAnsi="Times New Roman" w:cs="Times New Roman"/>
          <w:color w:val="000000" w:themeColor="text1"/>
          <w:lang w:eastAsia="ru-RU"/>
        </w:rPr>
        <w:lastRenderedPageBreak/>
        <w:t xml:space="preserve">в клетке сигнальных апоптозных каскадах. Этот митохондриальный флавопротеин перемещается от митохондрий к ядру, где вызывает конденсацию хроматина на периферии ядра и разрыв ДНК с образованием крупных фрагментов. В этом случае действует каспазонезависимый механизм. Таким образом, AIF и цитохром </w:t>
      </w:r>
      <w:r w:rsidRPr="00E3500A">
        <w:rPr>
          <w:rFonts w:ascii="Times New Roman" w:eastAsia="Times New Roman" w:hAnsi="Times New Roman" w:cs="Times New Roman"/>
          <w:i/>
          <w:iCs/>
          <w:color w:val="000000" w:themeColor="text1"/>
          <w:lang w:eastAsia="ru-RU"/>
        </w:rPr>
        <w:t xml:space="preserve">c </w:t>
      </w:r>
      <w:r w:rsidRPr="00E3500A">
        <w:rPr>
          <w:rFonts w:ascii="Times New Roman" w:eastAsia="Times New Roman" w:hAnsi="Times New Roman" w:cs="Times New Roman"/>
          <w:color w:val="000000" w:themeColor="text1"/>
          <w:lang w:eastAsia="ru-RU"/>
        </w:rPr>
        <w:t>выполняют важную роль проапоптозных факторов.</w:t>
      </w:r>
    </w:p>
    <w:p w:rsidR="002532AD" w:rsidRDefault="002532AD" w:rsidP="002532A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</w:p>
    <w:p w:rsidR="002532AD" w:rsidRPr="00FD2286" w:rsidRDefault="002532AD" w:rsidP="002532A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</w:p>
    <w:p w:rsidR="00D44FC1" w:rsidRDefault="00D44FC1">
      <w:bookmarkStart w:id="0" w:name="_GoBack"/>
      <w:bookmarkEnd w:id="0"/>
    </w:p>
    <w:sectPr w:rsidR="00D44F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040"/>
    <w:rsid w:val="002532AD"/>
    <w:rsid w:val="009C2040"/>
    <w:rsid w:val="00D44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53D87E-6992-4E7E-A278-4E8BB4361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32A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1057</Words>
  <Characters>6030</Characters>
  <Application>Microsoft Office Word</Application>
  <DocSecurity>0</DocSecurity>
  <Lines>50</Lines>
  <Paragraphs>14</Paragraphs>
  <ScaleCrop>false</ScaleCrop>
  <Company/>
  <LinksUpToDate>false</LinksUpToDate>
  <CharactersWithSpaces>7073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Шалахметова Тамара</dc:creator>
  <cp:keywords/>
  <dc:description/>
  <cp:lastModifiedBy>Шалахметова Тамара</cp:lastModifiedBy>
  <cp:revision>2</cp:revision>
  <dcterms:created xsi:type="dcterms:W3CDTF">2018-07-31T09:39:00Z</dcterms:created>
  <dcterms:modified xsi:type="dcterms:W3CDTF">2018-07-31T09:39:00Z</dcterms:modified>
</cp:coreProperties>
</file>